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A2" w:rsidRDefault="00DF47A2" w:rsidP="000410C9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109</w:t>
      </w:r>
      <w:r>
        <w:rPr>
          <w:rFonts w:ascii="標楷體" w:eastAsia="標楷體" w:hAnsi="標楷體" w:hint="eastAsia"/>
          <w:sz w:val="32"/>
          <w:szCs w:val="32"/>
        </w:rPr>
        <w:t>年度改進教學獎勵申請通過案</w:t>
      </w:r>
    </w:p>
    <w:tbl>
      <w:tblPr>
        <w:tblW w:w="9241" w:type="dxa"/>
        <w:jc w:val="center"/>
        <w:tblInd w:w="-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1134"/>
        <w:gridCol w:w="850"/>
        <w:gridCol w:w="1109"/>
        <w:gridCol w:w="4962"/>
      </w:tblGrid>
      <w:tr w:rsidR="000410C9" w:rsidTr="000410C9">
        <w:trPr>
          <w:trHeight w:val="40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獎勵種類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改進教學成果報告名稱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bookmarkStart w:id="0" w:name="_Hlk330382678"/>
            <w:bookmarkStart w:id="1" w:name="_Hlk330382289"/>
            <w:r>
              <w:rPr>
                <w:rFonts w:eastAsia="標楷體"/>
                <w:sz w:val="20"/>
              </w:rPr>
              <w:t>10901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江雅惠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</w:rPr>
              <w:t>國立臺灣師範大學-2019專業英日文詞彙與聽力能力大賽區域賽- 醫護組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第二名</w:t>
            </w:r>
          </w:p>
        </w:tc>
      </w:tr>
      <w:bookmarkEnd w:id="0"/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/>
                <w:sz w:val="16"/>
                <w:szCs w:val="16"/>
              </w:rPr>
              <w:t>(</w:t>
            </w:r>
            <w:r w:rsidRPr="000410C9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410C9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趙文霙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台南市政府-108年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南市環境知識競賽-參加獎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梁妙儀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2019全國競賽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「呼朋引伴、創造未來」:長庚科技大學-「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腫麼辦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-銅牌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/>
                <w:sz w:val="16"/>
                <w:szCs w:val="16"/>
              </w:rPr>
              <w:t>(</w:t>
            </w:r>
            <w:r w:rsidRPr="000410C9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410C9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陳玉娟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國立臺灣師範大學-2019專業英日文詞彙能力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大賽南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二區區域賽-第二名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張嘉苓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苗栗縣政府-2019年第七屆國際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盃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美容美髮大賽-亞軍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何淑如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長庚科技大學-全國教保技藝競賽靜態競賽-參加獎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/>
                <w:sz w:val="16"/>
                <w:szCs w:val="16"/>
              </w:rPr>
              <w:t>(</w:t>
            </w:r>
            <w:r w:rsidRPr="000410C9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410C9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黃貞裕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行政院農委會水土保持局-108年水土保持繪本故事表演創意競賽-戲劇</w:t>
            </w:r>
            <w:proofErr w:type="gramStart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演出類志工</w:t>
            </w:r>
            <w:proofErr w:type="gramEnd"/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組特優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0410C9">
              <w:rPr>
                <w:rFonts w:ascii="標楷體"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陳惠姿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國立臺灣師範大學-2019專業英日文詞彙與聽力能力大賽區域賽-美容美妝英文南二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區賽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-冠軍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陳志洋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教育部體育署-108學年度全國各級學校民俗體育競賽-跳繩競賽個人二迴旋賽女子組-特優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國立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中科技大學-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「2020</w:t>
            </w:r>
            <w:r>
              <w:rPr>
                <w:rFonts w:ascii="標楷體" w:eastAsia="標楷體" w:hAnsi="標楷體" w:hint="eastAsia"/>
                <w:sz w:val="20"/>
              </w:rPr>
              <w:t>全國立型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字彙達人比賽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」</w:t>
            </w:r>
            <w:r>
              <w:rPr>
                <w:rFonts w:ascii="標楷體" w:eastAsia="標楷體" w:hAnsi="標楷體" w:hint="eastAsia"/>
                <w:sz w:val="20"/>
              </w:rPr>
              <w:t>-第四名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/>
                <w:sz w:val="16"/>
                <w:szCs w:val="16"/>
              </w:rPr>
              <w:t>(</w:t>
            </w:r>
            <w:r w:rsidRPr="000410C9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410C9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林宜蓉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台中科技大學-2020年度全國立型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字彙達人比賽-佳作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/>
                <w:sz w:val="16"/>
                <w:szCs w:val="16"/>
              </w:rPr>
              <w:t>(</w:t>
            </w:r>
            <w:r w:rsidRPr="000410C9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410C9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台中科技大學-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「</w:t>
            </w:r>
            <w:r>
              <w:rPr>
                <w:rFonts w:ascii="標楷體" w:eastAsia="標楷體" w:hAnsi="標楷體" w:hint="eastAsia"/>
                <w:sz w:val="20"/>
              </w:rPr>
              <w:t>2020年度全國立型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字彙達人比賽-佳作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0410C9" w:rsidRP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 w:rsidRPr="000410C9">
              <w:rPr>
                <w:rFonts w:eastAsia="標楷體" w:hAnsi="標楷體"/>
                <w:sz w:val="16"/>
                <w:szCs w:val="16"/>
              </w:rPr>
              <w:t>(</w:t>
            </w:r>
            <w:r w:rsidRPr="000410C9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0410C9">
              <w:rPr>
                <w:rFonts w:eastAsia="標楷體" w:hAnsi="標楷體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致理科技大學-2019致理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盃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英文校園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形象文創海報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設計競賽-參加獎</w:t>
            </w:r>
          </w:p>
        </w:tc>
      </w:tr>
      <w:tr w:rsidR="000410C9" w:rsidTr="000410C9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楊琪華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運用體驗活動於產科護理學改進教學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楊美伶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走動式學習融入內科護理學課程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柯曼妮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情境模擬教學介入兒科護理實驗課程之教學改進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趙文霙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火災防治改進教學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陳玉娟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應用學生拍攝實作影片於提升內外科護理學實驗課程之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學習成校探討</w:t>
            </w:r>
            <w:proofErr w:type="gramEnd"/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 w:hAnsi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張嘉苓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髮型設計實務之改進教學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何淑如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圖畫書欣賞與應用改進教學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吳佳蕙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教保專業課程改進教學-生涯發展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  <w:shd w:val="clear" w:color="auto" w:fill="FFFFFF"/>
              </w:rPr>
              <w:t>創意的數學實踐教學---將手機融入教學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lastRenderedPageBreak/>
              <w:t>10923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</w:t>
            </w:r>
            <w:bookmarkStart w:id="2" w:name="_GoBack"/>
            <w:bookmarkEnd w:id="2"/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0"/>
              </w:rPr>
              <w:t>單字練習軟體強化英語單字學習之改進教學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/>
                <w:color w:val="00B0F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F0"/>
                <w:sz w:val="16"/>
                <w:szCs w:val="16"/>
              </w:rPr>
              <w:t>改進教學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林麗娟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「程序寫作運用於過程說明教學」之改進教學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color w:val="00B050"/>
              </w:rPr>
            </w:pPr>
            <w:r w:rsidRPr="00907CC9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通識教育中心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易正明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數學</w:t>
            </w:r>
            <w:r>
              <w:rPr>
                <w:rFonts w:ascii="標楷體" w:eastAsia="標楷體" w:hAnsi="標楷體" w:hint="eastAsia"/>
                <w:sz w:val="20"/>
                <w:shd w:val="clear" w:color="auto" w:fill="FFFFFF"/>
              </w:rPr>
              <w:t>--</w:t>
            </w:r>
            <w:r>
              <w:rPr>
                <w:rFonts w:ascii="標楷體" w:eastAsia="標楷體" w:hAnsi="標楷體" w:hint="eastAsia"/>
                <w:sz w:val="20"/>
              </w:rPr>
              <w:t>應用於醫護的數學素養為導向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rFonts w:eastAsia="標楷體" w:hAnsi="標楷體"/>
                <w:color w:val="00B050"/>
                <w:sz w:val="16"/>
                <w:szCs w:val="16"/>
              </w:rPr>
            </w:pPr>
            <w:r w:rsidRPr="00907CC9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幼保科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張嘉苓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美容保健概論</w:t>
            </w:r>
          </w:p>
        </w:tc>
      </w:tr>
      <w:tr w:rsidR="000410C9" w:rsidTr="000410C9">
        <w:trPr>
          <w:trHeight w:val="41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109027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C9" w:rsidRPr="00907CC9" w:rsidRDefault="000410C9" w:rsidP="000410C9">
            <w:pPr>
              <w:spacing w:line="120" w:lineRule="auto"/>
              <w:jc w:val="center"/>
              <w:rPr>
                <w:color w:val="00B050"/>
              </w:rPr>
            </w:pPr>
            <w:r w:rsidRPr="00907CC9">
              <w:rPr>
                <w:rFonts w:eastAsia="標楷體" w:hAnsi="標楷體" w:hint="eastAsia"/>
                <w:color w:val="00B050"/>
                <w:sz w:val="16"/>
                <w:szCs w:val="16"/>
              </w:rPr>
              <w:t>教學專書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int="eastAsia"/>
                <w:sz w:val="16"/>
                <w:szCs w:val="16"/>
              </w:rPr>
              <w:t>護理科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趙文霙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C9" w:rsidRDefault="000410C9" w:rsidP="000410C9">
            <w:pPr>
              <w:spacing w:line="120" w:lineRule="auto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藥理學(四版</w:t>
            </w:r>
            <w:r>
              <w:rPr>
                <w:rFonts w:ascii="新細明體" w:hAnsi="新細明體" w:hint="eastAsia"/>
                <w:sz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</w:rPr>
              <w:t>-第七章麻醉藥物</w:t>
            </w:r>
          </w:p>
        </w:tc>
      </w:tr>
      <w:bookmarkEnd w:id="1"/>
    </w:tbl>
    <w:p w:rsidR="00DF47A2" w:rsidRDefault="00DF47A2" w:rsidP="000410C9">
      <w:pPr>
        <w:jc w:val="center"/>
        <w:rPr>
          <w:rFonts w:ascii="標楷體" w:eastAsia="標楷體" w:hAnsi="標楷體"/>
          <w:sz w:val="32"/>
          <w:szCs w:val="32"/>
        </w:rPr>
      </w:pPr>
    </w:p>
    <w:p w:rsidR="00A75DCA" w:rsidRDefault="00A75DCA" w:rsidP="000410C9">
      <w:pPr>
        <w:jc w:val="center"/>
      </w:pPr>
    </w:p>
    <w:sectPr w:rsidR="00A75DCA" w:rsidSect="00DF47A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A2"/>
    <w:rsid w:val="000410C9"/>
    <w:rsid w:val="00907CC9"/>
    <w:rsid w:val="00A75DCA"/>
    <w:rsid w:val="00D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A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A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2021-10-19T08:51:00Z</dcterms:created>
  <dcterms:modified xsi:type="dcterms:W3CDTF">2021-10-19T08:59:00Z</dcterms:modified>
</cp:coreProperties>
</file>